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C5CB" w14:textId="77777777" w:rsidR="00E97A6B" w:rsidRDefault="00E97A6B" w:rsidP="00E97A6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CF3DCC" wp14:editId="3B829DDE">
            <wp:extent cx="542290" cy="659130"/>
            <wp:effectExtent l="0" t="0" r="0" b="7620"/>
            <wp:docPr id="1" name="Picture 1" descr="A picture containing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ED11" w14:textId="77777777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0AAB635F" w14:textId="77777777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C0FDDD8" w14:textId="77777777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37BE995C" w14:textId="77777777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E3BDC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0B1B2DCF" w14:textId="77777777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</w:t>
      </w:r>
      <w:r w:rsidR="001B5D5A">
        <w:rPr>
          <w:rFonts w:ascii="Arial" w:hAnsi="Arial" w:cs="Arial"/>
          <w:sz w:val="22"/>
          <w:szCs w:val="22"/>
        </w:rPr>
        <w:t>ibilities.</w:t>
      </w:r>
    </w:p>
    <w:p w14:paraId="2CB90B3C" w14:textId="77777777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51F0B6A4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1A9B941D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5D8DCA8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39FFE34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4BE7E436" w14:textId="77777777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1A2AC4DC" w14:textId="103CCAAE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D51FA0">
        <w:rPr>
          <w:rFonts w:ascii="Arial" w:hAnsi="Arial" w:cs="Arial"/>
          <w:sz w:val="22"/>
          <w:szCs w:val="22"/>
        </w:rPr>
        <w:t>learning and development</w:t>
      </w:r>
      <w:r w:rsidRPr="007831E5">
        <w:rPr>
          <w:rFonts w:ascii="Arial" w:hAnsi="Arial" w:cs="Arial"/>
          <w:sz w:val="22"/>
          <w:szCs w:val="22"/>
        </w:rPr>
        <w:t xml:space="preserve"> and to share concerns if they arise.</w:t>
      </w:r>
    </w:p>
    <w:p w14:paraId="75CEEC35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1E48A79D" w14:textId="77777777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6452FD56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5ECDBB22" w14:textId="77777777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159100F7" w14:textId="77777777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76DEAFA3" w14:textId="77777777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804EAFD" w14:textId="77777777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4FB7BF9B" w14:textId="77777777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573E7307" w14:textId="77777777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11CFA598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61067B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1E680431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1775996E" w14:textId="77777777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158BCB55" w14:textId="7777777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2F044276" w14:textId="77777777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517686C0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4B1C647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1B462416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6CE31C15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5FB94564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61A7FF98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05054423" w14:textId="77777777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</w:t>
      </w:r>
      <w:r w:rsidR="00BF7790" w:rsidRPr="007831E5">
        <w:rPr>
          <w:rFonts w:ascii="Arial" w:hAnsi="Arial" w:cs="Arial"/>
          <w:sz w:val="22"/>
          <w:szCs w:val="22"/>
        </w:rPr>
        <w:lastRenderedPageBreak/>
        <w:t xml:space="preserve">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3613A4FE" w14:textId="77777777" w:rsidR="00E97A6B" w:rsidRDefault="00E97A6B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2AAD798B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5C1C9818" w14:textId="77777777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>information as per procedure 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5003BF50" w14:textId="77777777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323E7D">
      <w:footerReference w:type="default" r:id="rId12"/>
      <w:pgSz w:w="11906" w:h="16838"/>
      <w:pgMar w:top="720" w:right="720" w:bottom="720" w:left="720" w:header="708" w:footer="51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67D5" w14:textId="77777777" w:rsidR="007D58D7" w:rsidRDefault="007D58D7" w:rsidP="00202701">
      <w:r>
        <w:separator/>
      </w:r>
    </w:p>
  </w:endnote>
  <w:endnote w:type="continuationSeparator" w:id="0">
    <w:p w14:paraId="5066C430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5FB5" w14:textId="08042A85" w:rsidR="00323E7D" w:rsidRDefault="00323E7D">
    <w:pPr>
      <w:pStyle w:val="Footer"/>
    </w:pPr>
  </w:p>
  <w:p w14:paraId="0A06906B" w14:textId="251166A5" w:rsidR="00323E7D" w:rsidRPr="00323E7D" w:rsidRDefault="00323E7D">
    <w:pPr>
      <w:pStyle w:val="Footer"/>
      <w:rPr>
        <w:rFonts w:asciiTheme="majorHAnsi" w:hAnsiTheme="majorHAnsi" w:cstheme="majorHAnsi"/>
        <w:color w:val="FF0000"/>
      </w:rPr>
    </w:pPr>
    <w:r w:rsidRPr="00323E7D">
      <w:rPr>
        <w:rFonts w:asciiTheme="majorHAnsi" w:hAnsiTheme="majorHAnsi" w:cstheme="majorHAnsi"/>
        <w:color w:val="FF0000"/>
      </w:rPr>
      <w:t>Policies &amp; Procedures for the EYFS adopted 1st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1090" w14:textId="77777777" w:rsidR="007D58D7" w:rsidRDefault="007D58D7" w:rsidP="00202701">
      <w:r>
        <w:separator/>
      </w:r>
    </w:p>
  </w:footnote>
  <w:footnote w:type="continuationSeparator" w:id="0">
    <w:p w14:paraId="34DA447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9599">
    <w:abstractNumId w:val="2"/>
  </w:num>
  <w:num w:numId="2" w16cid:durableId="1768964181">
    <w:abstractNumId w:val="3"/>
  </w:num>
  <w:num w:numId="3" w16cid:durableId="755983512">
    <w:abstractNumId w:val="7"/>
  </w:num>
  <w:num w:numId="4" w16cid:durableId="4453204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203310">
    <w:abstractNumId w:val="0"/>
  </w:num>
  <w:num w:numId="6" w16cid:durableId="765270736">
    <w:abstractNumId w:val="11"/>
  </w:num>
  <w:num w:numId="7" w16cid:durableId="579943534">
    <w:abstractNumId w:val="8"/>
  </w:num>
  <w:num w:numId="8" w16cid:durableId="1635911714">
    <w:abstractNumId w:val="10"/>
  </w:num>
  <w:num w:numId="9" w16cid:durableId="1254507949">
    <w:abstractNumId w:val="4"/>
  </w:num>
  <w:num w:numId="10" w16cid:durableId="27877361">
    <w:abstractNumId w:val="5"/>
  </w:num>
  <w:num w:numId="11" w16cid:durableId="996571589">
    <w:abstractNumId w:val="9"/>
  </w:num>
  <w:num w:numId="12" w16cid:durableId="62647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1B5D5A"/>
    <w:rsid w:val="00202701"/>
    <w:rsid w:val="00266ABB"/>
    <w:rsid w:val="00283ECE"/>
    <w:rsid w:val="002865EB"/>
    <w:rsid w:val="00287E61"/>
    <w:rsid w:val="00293100"/>
    <w:rsid w:val="002C169F"/>
    <w:rsid w:val="002D1727"/>
    <w:rsid w:val="002E764C"/>
    <w:rsid w:val="00306D44"/>
    <w:rsid w:val="00323443"/>
    <w:rsid w:val="00323E7D"/>
    <w:rsid w:val="00331D8C"/>
    <w:rsid w:val="0033496A"/>
    <w:rsid w:val="003666EC"/>
    <w:rsid w:val="0037148C"/>
    <w:rsid w:val="00381778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1FA0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73492"/>
    <w:rsid w:val="00E938DF"/>
    <w:rsid w:val="00E97A6B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0DC03A"/>
  <w15:docId w15:val="{3EFB4873-E21D-4C40-9CAC-FC9C586F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6C8CE-98B5-432A-A021-CA03ACF30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caron rhodes</cp:lastModifiedBy>
  <cp:revision>10</cp:revision>
  <cp:lastPrinted>2011-08-21T11:18:00Z</cp:lastPrinted>
  <dcterms:created xsi:type="dcterms:W3CDTF">2021-07-21T15:38:00Z</dcterms:created>
  <dcterms:modified xsi:type="dcterms:W3CDTF">2024-01-31T13:56:00Z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